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A1AE0" w14:textId="2B40113D" w:rsidR="004E1E80" w:rsidRPr="006241A5" w:rsidRDefault="000C1C8A" w:rsidP="006241A5">
      <w:pPr>
        <w:spacing w:after="0" w:line="240" w:lineRule="auto"/>
        <w:jc w:val="center"/>
        <w:rPr>
          <w:rFonts w:ascii="Tahoma" w:hAnsi="Tahoma" w:cs="Tahoma"/>
          <w:b/>
          <w:noProof/>
          <w:sz w:val="20"/>
          <w:szCs w:val="20"/>
        </w:rPr>
      </w:pPr>
      <w:r w:rsidRPr="000C1C8A">
        <w:rPr>
          <w:rFonts w:ascii="Tahoma" w:hAnsi="Tahoma" w:cs="Tahoma"/>
          <w:b/>
          <w:noProof/>
          <w:sz w:val="20"/>
          <w:szCs w:val="20"/>
        </w:rPr>
        <w:t>GLOBALNA KREATIVNA ELITA NA FESTIVALU #KAKTUS2020!</w:t>
      </w:r>
    </w:p>
    <w:p w14:paraId="1EA22DC6" w14:textId="77777777" w:rsidR="006241A5" w:rsidRPr="006241A5" w:rsidRDefault="006241A5" w:rsidP="006241A5">
      <w:pPr>
        <w:spacing w:after="0" w:line="240" w:lineRule="auto"/>
        <w:jc w:val="center"/>
        <w:rPr>
          <w:rFonts w:ascii="Tahoma" w:hAnsi="Tahoma" w:cs="Tahoma"/>
          <w:b/>
          <w:noProof/>
          <w:sz w:val="20"/>
          <w:szCs w:val="20"/>
        </w:rPr>
      </w:pPr>
    </w:p>
    <w:p w14:paraId="46706C7A" w14:textId="0961D6FB" w:rsidR="006241A5" w:rsidRDefault="000C1C8A" w:rsidP="006241A5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0C1C8A">
        <w:rPr>
          <w:rFonts w:ascii="Tahoma" w:hAnsi="Tahoma" w:cs="Tahoma"/>
          <w:sz w:val="20"/>
          <w:szCs w:val="20"/>
          <w:lang w:val="sr-Latn-CS"/>
        </w:rPr>
        <w:t>Beograd, 7. listopada 2020. - Najbolji i najnagrađivaniji svjetski kreativci i komunikacijski stručnjaci iz agencija Energy BBDO Chicago, McCann New York, AKQA Brazil, Saatchi &amp; Saatchi Australia, Leavingstone Georgia, Dentsu Aegis Network Singapore, Publicis Italia, kao i Google i Spotify, samo su neki od predavača na šestom festivalu integriranih komunikacija -</w:t>
      </w:r>
      <w:r w:rsidR="006241A5" w:rsidRPr="006241A5">
        <w:rPr>
          <w:rFonts w:ascii="Tahoma" w:hAnsi="Tahoma" w:cs="Tahoma"/>
          <w:sz w:val="20"/>
          <w:szCs w:val="20"/>
          <w:lang w:val="en-US"/>
        </w:rPr>
        <w:t xml:space="preserve"> </w:t>
      </w:r>
      <w:hyperlink r:id="rId8" w:anchor="konferencija" w:history="1">
        <w:r w:rsidR="006241A5" w:rsidRPr="006241A5">
          <w:rPr>
            <w:rStyle w:val="Hyperlink"/>
            <w:rFonts w:ascii="Tahoma" w:hAnsi="Tahoma" w:cs="Tahoma"/>
            <w:sz w:val="20"/>
            <w:szCs w:val="20"/>
            <w:lang w:val="en-US"/>
          </w:rPr>
          <w:t>KAKTUS 2020</w:t>
        </w:r>
      </w:hyperlink>
      <w:r w:rsidR="006241A5" w:rsidRPr="006241A5">
        <w:rPr>
          <w:rFonts w:ascii="Tahoma" w:hAnsi="Tahoma" w:cs="Tahoma"/>
          <w:sz w:val="20"/>
          <w:szCs w:val="20"/>
          <w:lang w:val="en-US"/>
        </w:rPr>
        <w:t xml:space="preserve">.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Festival će se održati 3. i 4. studenoga online, pod sloganom "Unique in being different".</w:t>
      </w:r>
    </w:p>
    <w:p w14:paraId="098117E1" w14:textId="77777777" w:rsidR="000C1C8A" w:rsidRPr="006241A5" w:rsidRDefault="000C1C8A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07C0F867" w14:textId="338892A8" w:rsidR="006241A5" w:rsidRDefault="000C1C8A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0C1C8A">
        <w:rPr>
          <w:rFonts w:ascii="Tahoma" w:hAnsi="Tahoma" w:cs="Tahoma"/>
          <w:sz w:val="20"/>
          <w:szCs w:val="20"/>
          <w:lang w:val="en-US"/>
        </w:rPr>
        <w:t xml:space="preserve">Kao i prošle godine, KAKTUS 2020 ponudit će sudionicima kvalitetan i raznolik program iz različitih područja integriranih komunikacija. Među glavnim predavačima ove su godine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Ioana Filip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SCP Global Executive Creative Director, Energy BBDO, Chicago;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Renato Zandoná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Executive Creative Director, AKQA, São Paulo;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Joao Flores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Chief Creative Officer, Dentsu Aegis Network Singapur;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Sandra Bold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Global Creative Director, Publicis Italija i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Elav Horwitz</w:t>
      </w:r>
      <w:r w:rsidRPr="000C1C8A">
        <w:rPr>
          <w:rFonts w:ascii="Tahoma" w:hAnsi="Tahoma" w:cs="Tahoma"/>
          <w:sz w:val="20"/>
          <w:szCs w:val="20"/>
          <w:lang w:val="en-US"/>
        </w:rPr>
        <w:t>, SVP Global Innovation Director u McCann Worldgroup New York.</w:t>
      </w:r>
    </w:p>
    <w:p w14:paraId="196F1166" w14:textId="77777777" w:rsidR="000C1C8A" w:rsidRPr="006241A5" w:rsidRDefault="000C1C8A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7862308D" w14:textId="48819FF1" w:rsidR="006241A5" w:rsidRPr="006241A5" w:rsidRDefault="000C1C8A" w:rsidP="00BD2CE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0C1C8A">
        <w:rPr>
          <w:rFonts w:ascii="Tahoma" w:hAnsi="Tahoma" w:cs="Tahoma"/>
          <w:sz w:val="20"/>
          <w:szCs w:val="20"/>
          <w:lang w:val="en-US"/>
        </w:rPr>
        <w:t>T</w:t>
      </w:r>
      <w:r>
        <w:rPr>
          <w:rFonts w:ascii="Tahoma" w:hAnsi="Tahoma" w:cs="Tahoma"/>
          <w:sz w:val="20"/>
          <w:szCs w:val="20"/>
          <w:lang w:val="en-US"/>
        </w:rPr>
        <w:t>ije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kom dva dana kvalitetnog programa, sudionicima festivala predstavit će se i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Chris McCarty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Head of Creative Strategy, The ZOO, Google (Francuska);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Bruno Luglio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Creative Director, Spotify (USA);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Raj Pathmanathan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Creative Director i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Jelena Stošić</w:t>
      </w:r>
      <w:r w:rsidRPr="000C1C8A">
        <w:rPr>
          <w:rFonts w:ascii="Tahoma" w:hAnsi="Tahoma" w:cs="Tahoma"/>
          <w:sz w:val="20"/>
          <w:szCs w:val="20"/>
          <w:lang w:val="en-US"/>
        </w:rPr>
        <w:t>, S</w:t>
      </w:r>
      <w:r>
        <w:rPr>
          <w:rFonts w:ascii="Tahoma" w:hAnsi="Tahoma" w:cs="Tahoma"/>
          <w:sz w:val="20"/>
          <w:szCs w:val="20"/>
          <w:lang w:val="en-US"/>
        </w:rPr>
        <w:t>t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rategy Director u Kids Industries the family agency, London (UK);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Bruno Regalo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Creative Director / Head of Art &amp; Design, TBWA \ Chiat \ Day, Los Angeles (USA);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Will Rust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Founder, Stupid Ideas (Danska);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Andrea Henao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Partner &amp; Managing Director, 360 Agency Berlin;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Santi Urso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Creative &amp; Art Director, Saatchi &amp; Saatchi Australija;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Ana Anđelić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Strategy Executive &amp; Author of The Business of Aspiration, New York;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Saymon Medeiros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Senior Art Director, Wunderman Thompson, Dubai (UAE);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Dawid Szczepaniak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Chief creative officer &amp; Partner, VMLY &amp; R, Varšava;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Folker Wrage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, President Leavingstone International, Gruzija i 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Jan de Jong</w:t>
      </w:r>
      <w:r w:rsidRPr="000C1C8A">
        <w:rPr>
          <w:rFonts w:ascii="Tahoma" w:hAnsi="Tahoma" w:cs="Tahoma"/>
          <w:sz w:val="20"/>
          <w:szCs w:val="20"/>
          <w:lang w:val="en-US"/>
        </w:rPr>
        <w:t>, suosnivač i upravni partner, Webpower Adria (Hrvatska).</w:t>
      </w:r>
    </w:p>
    <w:p w14:paraId="3614201E" w14:textId="77777777" w:rsidR="006241A5" w:rsidRPr="006241A5" w:rsidRDefault="006241A5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311F086F" w14:textId="769896ED" w:rsidR="006241A5" w:rsidRDefault="000C1C8A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0C1C8A">
        <w:rPr>
          <w:rFonts w:ascii="Tahoma" w:hAnsi="Tahoma" w:cs="Tahoma"/>
          <w:sz w:val="20"/>
          <w:szCs w:val="20"/>
          <w:lang w:val="en-US"/>
        </w:rPr>
        <w:t>Prvog i drugog dana bit će organizirano nekoliko kreativnih rasprava, a jedna od njih je panel na temu</w:t>
      </w: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 xml:space="preserve"> Innovation hype</w:t>
      </w:r>
      <w:r w:rsidRPr="000C1C8A">
        <w:rPr>
          <w:rFonts w:ascii="Tahoma" w:hAnsi="Tahoma" w:cs="Tahoma"/>
          <w:sz w:val="20"/>
          <w:szCs w:val="20"/>
          <w:lang w:val="en-US"/>
        </w:rPr>
        <w:t xml:space="preserve"> (powered by Delta Holding).</w:t>
      </w:r>
    </w:p>
    <w:p w14:paraId="56E309CB" w14:textId="77777777" w:rsidR="000C1C8A" w:rsidRPr="006241A5" w:rsidRDefault="000C1C8A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4545EA26" w14:textId="44F61DEC" w:rsidR="006241A5" w:rsidRDefault="000C1C8A" w:rsidP="006241A5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0C1C8A">
        <w:rPr>
          <w:rFonts w:ascii="Tahoma" w:hAnsi="Tahoma" w:cs="Tahoma"/>
          <w:b/>
          <w:bCs/>
          <w:sz w:val="20"/>
          <w:szCs w:val="20"/>
          <w:lang w:val="en-US"/>
        </w:rPr>
        <w:t>Pored konferencijskog dijela festivala, održat će se i promocija drugog izdanja publikacije ADBOOKA, kao i godišnja dodjela strukovnih nagrada KAKTUS 2020 i KAKTUS Talents.</w:t>
      </w:r>
    </w:p>
    <w:p w14:paraId="30E6AF1E" w14:textId="77777777" w:rsidR="000C1C8A" w:rsidRPr="006241A5" w:rsidRDefault="000C1C8A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5779E892" w14:textId="134B0A08" w:rsidR="006241A5" w:rsidRPr="006241A5" w:rsidRDefault="000C1C8A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CS"/>
        </w:rPr>
      </w:pPr>
      <w:r w:rsidRPr="000C1C8A">
        <w:rPr>
          <w:rFonts w:ascii="Tahoma" w:hAnsi="Tahoma" w:cs="Tahoma"/>
          <w:sz w:val="20"/>
          <w:szCs w:val="20"/>
          <w:lang w:val="en-US"/>
        </w:rPr>
        <w:t>Životopisi predavača dostupni su na stranici</w:t>
      </w:r>
      <w:r w:rsidR="006241A5" w:rsidRPr="006241A5">
        <w:rPr>
          <w:rFonts w:ascii="Tahoma" w:hAnsi="Tahoma" w:cs="Tahoma"/>
          <w:sz w:val="20"/>
          <w:szCs w:val="20"/>
          <w:lang w:val="en-US"/>
        </w:rPr>
        <w:t xml:space="preserve"> </w:t>
      </w:r>
      <w:hyperlink r:id="rId9" w:history="1">
        <w:r w:rsidR="006241A5" w:rsidRPr="006241A5">
          <w:rPr>
            <w:rStyle w:val="Hyperlink"/>
            <w:rFonts w:ascii="Tahoma" w:hAnsi="Tahoma" w:cs="Tahoma"/>
            <w:sz w:val="20"/>
            <w:szCs w:val="20"/>
            <w:lang w:val="en-US"/>
          </w:rPr>
          <w:t>https://kaktus.rs/</w:t>
        </w:r>
      </w:hyperlink>
    </w:p>
    <w:p w14:paraId="48CBE8E1" w14:textId="77777777" w:rsidR="006241A5" w:rsidRPr="006241A5" w:rsidRDefault="006241A5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1804B4C1" w14:textId="1A3BD658" w:rsidR="002B7358" w:rsidRDefault="000C1C8A" w:rsidP="006241A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0C1C8A">
        <w:rPr>
          <w:rFonts w:ascii="Tahoma" w:hAnsi="Tahoma" w:cs="Tahoma"/>
          <w:sz w:val="20"/>
          <w:szCs w:val="20"/>
          <w:lang w:val="en-US"/>
        </w:rPr>
        <w:t>Festival KAKTUS 2020 podržalo je preko 45 medijskih kuća iz cijele regije, kao i tvrtke Mercator S, Apatinska pivovara, Pepsico - Marbo Product, Frikom, Ušće Shopping Center i Jaffa Crvenka. Zlatni sponzor festivala je Delta Holding, srebrni je Forma Ideale, dok je ove godine brončani sponzor Mastercard. Partneri festivala su agencije - Direct Media United Solutions, Ovation BBDO, Headline, Degordian, Info Media Group, Alma Quattro i DPC Group. Festival su podržali i Nova Communications, Digital Element, Chameleon Ruma, Propix i Srpska asocijacija menadžera.</w:t>
      </w:r>
    </w:p>
    <w:p w14:paraId="049AB9CD" w14:textId="77777777" w:rsidR="000C1C8A" w:rsidRPr="006241A5" w:rsidRDefault="000C1C8A" w:rsidP="006241A5">
      <w:pPr>
        <w:spacing w:after="0" w:line="240" w:lineRule="auto"/>
        <w:jc w:val="both"/>
        <w:rPr>
          <w:rFonts w:ascii="Tahoma" w:eastAsia="Times New Roman" w:hAnsi="Tahoma" w:cs="Tahoma"/>
          <w:bCs/>
          <w:noProof/>
          <w:sz w:val="20"/>
          <w:szCs w:val="20"/>
        </w:rPr>
      </w:pPr>
    </w:p>
    <w:p w14:paraId="5FA1B22B" w14:textId="77777777" w:rsidR="001C3E2D" w:rsidRPr="006241A5" w:rsidRDefault="001C3E2D" w:rsidP="006241A5">
      <w:pPr>
        <w:pStyle w:val="NormalWeb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333333"/>
          <w:sz w:val="20"/>
          <w:szCs w:val="20"/>
          <w:vertAlign w:val="subscript"/>
        </w:rPr>
      </w:pPr>
      <w:r w:rsidRPr="006241A5">
        <w:rPr>
          <w:rFonts w:ascii="Tahoma" w:hAnsi="Tahoma" w:cs="Tahoma"/>
          <w:color w:val="333333"/>
          <w:sz w:val="20"/>
          <w:szCs w:val="20"/>
          <w:vertAlign w:val="subscript"/>
        </w:rPr>
        <w:t>*****</w:t>
      </w:r>
    </w:p>
    <w:p w14:paraId="593D13E1" w14:textId="77777777" w:rsidR="001C3E2D" w:rsidRPr="006241A5" w:rsidRDefault="001C3E2D" w:rsidP="006241A5">
      <w:pPr>
        <w:pStyle w:val="NormalWeb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</w:p>
    <w:p w14:paraId="17308D09" w14:textId="6ED1E4E1" w:rsidR="001C3E2D" w:rsidRPr="006241A5" w:rsidRDefault="000C1C8A" w:rsidP="006241A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sr-Latn-CS"/>
        </w:rPr>
      </w:pPr>
      <w:r w:rsidRPr="000C1C8A">
        <w:rPr>
          <w:rFonts w:ascii="Tahoma" w:eastAsia="Times New Roman" w:hAnsi="Tahoma" w:cs="Tahoma"/>
          <w:sz w:val="20"/>
          <w:szCs w:val="20"/>
          <w:lang w:val="pl-PL"/>
        </w:rPr>
        <w:t xml:space="preserve">Za više informacija: Ivana Parčetić Mitić (e-mail: </w:t>
      </w:r>
      <w:hyperlink r:id="rId10" w:history="1">
        <w:r w:rsidRPr="001A60C9">
          <w:rPr>
            <w:rStyle w:val="Hyperlink"/>
            <w:rFonts w:ascii="Tahoma" w:eastAsia="Times New Roman" w:hAnsi="Tahoma" w:cs="Tahoma"/>
            <w:sz w:val="20"/>
            <w:szCs w:val="20"/>
            <w:lang w:val="pl-PL"/>
          </w:rPr>
          <w:t>ivana@marketingmreza.rs</w:t>
        </w:r>
      </w:hyperlink>
      <w:r>
        <w:rPr>
          <w:rFonts w:ascii="Tahoma" w:eastAsia="Times New Roman" w:hAnsi="Tahoma" w:cs="Tahoma"/>
          <w:sz w:val="20"/>
          <w:szCs w:val="20"/>
          <w:lang w:val="pl-PL"/>
        </w:rPr>
        <w:t>)</w:t>
      </w:r>
    </w:p>
    <w:p w14:paraId="3C673D26" w14:textId="77777777" w:rsidR="001C3E2D" w:rsidRPr="00DF008F" w:rsidRDefault="001C3E2D" w:rsidP="003362F1">
      <w:pPr>
        <w:spacing w:before="100" w:beforeAutospacing="1" w:after="0" w:line="240" w:lineRule="auto"/>
        <w:jc w:val="both"/>
        <w:rPr>
          <w:rFonts w:ascii="Tahoma" w:eastAsia="Times New Roman" w:hAnsi="Tahoma" w:cs="Tahoma"/>
          <w:bCs/>
          <w:noProof/>
          <w:sz w:val="20"/>
          <w:szCs w:val="20"/>
        </w:rPr>
      </w:pPr>
    </w:p>
    <w:p w14:paraId="58D548DA" w14:textId="77777777" w:rsidR="003362F1" w:rsidRPr="0035107A" w:rsidRDefault="003362F1" w:rsidP="005F19D2">
      <w:pPr>
        <w:pStyle w:val="NormalWeb"/>
        <w:spacing w:before="0" w:beforeAutospacing="0" w:after="0" w:afterAutospacing="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410180E6" w14:textId="71BACE78" w:rsidR="005F19D2" w:rsidRPr="0035107A" w:rsidRDefault="005F19D2" w:rsidP="005F19D2">
      <w:pPr>
        <w:pStyle w:val="NormalWeb"/>
        <w:spacing w:before="0" w:beforeAutospacing="0" w:after="0" w:afterAutospacing="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69C9289C" w14:textId="3AA522DD" w:rsidR="00E84256" w:rsidRPr="00BF7EC7" w:rsidRDefault="00E84256" w:rsidP="00BF7EC7">
      <w:pPr>
        <w:pStyle w:val="NormalWeb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0"/>
          <w:szCs w:val="20"/>
          <w:vertAlign w:val="subscript"/>
        </w:rPr>
      </w:pPr>
    </w:p>
    <w:sectPr w:rsidR="00E84256" w:rsidRPr="00BF7EC7" w:rsidSect="003C7AE6">
      <w:headerReference w:type="default" r:id="rId11"/>
      <w:footerReference w:type="default" r:id="rId12"/>
      <w:pgSz w:w="11907" w:h="16840" w:code="9"/>
      <w:pgMar w:top="1418" w:right="56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CB6A3" w14:textId="77777777" w:rsidR="00796AA4" w:rsidRDefault="00796AA4" w:rsidP="00914BE1">
      <w:r>
        <w:separator/>
      </w:r>
    </w:p>
  </w:endnote>
  <w:endnote w:type="continuationSeparator" w:id="0">
    <w:p w14:paraId="6259F7F3" w14:textId="77777777" w:rsidR="00796AA4" w:rsidRDefault="00796AA4" w:rsidP="00914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470C2" w14:textId="77777777" w:rsidR="00914BE1" w:rsidRDefault="00914BE1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C6F888" wp14:editId="0C394FA7">
          <wp:simplePos x="0" y="0"/>
          <wp:positionH relativeFrom="page">
            <wp:align>center</wp:align>
          </wp:positionH>
          <wp:positionV relativeFrom="margin">
            <wp:posOffset>7569835</wp:posOffset>
          </wp:positionV>
          <wp:extent cx="7572375" cy="1236980"/>
          <wp:effectExtent l="0" t="0" r="9525" b="127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1236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3AB9C" w14:textId="77777777" w:rsidR="00796AA4" w:rsidRDefault="00796AA4" w:rsidP="00914BE1">
      <w:r>
        <w:separator/>
      </w:r>
    </w:p>
  </w:footnote>
  <w:footnote w:type="continuationSeparator" w:id="0">
    <w:p w14:paraId="2246239C" w14:textId="77777777" w:rsidR="00796AA4" w:rsidRDefault="00796AA4" w:rsidP="00914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148ED" w14:textId="77777777" w:rsidR="00914BE1" w:rsidRDefault="00710CBF" w:rsidP="00914BE1">
    <w:pPr>
      <w:pStyle w:val="Header"/>
      <w:jc w:val="center"/>
    </w:pPr>
    <w:r>
      <w:rPr>
        <w:noProof/>
      </w:rPr>
      <w:drawing>
        <wp:inline distT="0" distB="0" distL="0" distR="0" wp14:anchorId="40F349FE" wp14:editId="506A7E66">
          <wp:extent cx="2295525" cy="1468863"/>
          <wp:effectExtent l="0" t="0" r="0" b="0"/>
          <wp:docPr id="2" name="Picture 2" descr="D:\!Backup\Desktop\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!Backup\Desktop\logo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29" cy="147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377CDE" w14:textId="77777777" w:rsidR="00710CBF" w:rsidRDefault="00710CBF" w:rsidP="00914BE1">
    <w:pPr>
      <w:pStyle w:val="Header"/>
      <w:jc w:val="center"/>
    </w:pPr>
    <w:r>
      <w:rPr>
        <w:noProof/>
      </w:rPr>
      <w:drawing>
        <wp:inline distT="0" distB="0" distL="0" distR="0" wp14:anchorId="207FE2D4" wp14:editId="652D9556">
          <wp:extent cx="1752600" cy="365126"/>
          <wp:effectExtent l="0" t="0" r="0" b="0"/>
          <wp:docPr id="3" name="Picture 3" descr="D:\!Backup\Desktop\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!Backup\Desktop\logo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1108" cy="366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BE4983" w14:textId="77777777" w:rsidR="00914BE1" w:rsidRDefault="00914B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D27C4"/>
    <w:multiLevelType w:val="hybridMultilevel"/>
    <w:tmpl w:val="AE765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469B7"/>
    <w:multiLevelType w:val="hybridMultilevel"/>
    <w:tmpl w:val="CA6AE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40CF4"/>
    <w:multiLevelType w:val="hybridMultilevel"/>
    <w:tmpl w:val="1B526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32CC9"/>
    <w:multiLevelType w:val="hybridMultilevel"/>
    <w:tmpl w:val="55703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BE1"/>
    <w:rsid w:val="0000604B"/>
    <w:rsid w:val="00017164"/>
    <w:rsid w:val="00030DF0"/>
    <w:rsid w:val="00064D4E"/>
    <w:rsid w:val="000653E9"/>
    <w:rsid w:val="00067A5C"/>
    <w:rsid w:val="00087D74"/>
    <w:rsid w:val="000A6958"/>
    <w:rsid w:val="000C1C8A"/>
    <w:rsid w:val="000C3778"/>
    <w:rsid w:val="000C7466"/>
    <w:rsid w:val="000D756E"/>
    <w:rsid w:val="000D7E07"/>
    <w:rsid w:val="000F290F"/>
    <w:rsid w:val="00132AA4"/>
    <w:rsid w:val="00152400"/>
    <w:rsid w:val="001607BC"/>
    <w:rsid w:val="00161011"/>
    <w:rsid w:val="001A7CE0"/>
    <w:rsid w:val="001C3E2D"/>
    <w:rsid w:val="001C43CC"/>
    <w:rsid w:val="001D0796"/>
    <w:rsid w:val="001E28B5"/>
    <w:rsid w:val="00223294"/>
    <w:rsid w:val="0022347C"/>
    <w:rsid w:val="0023284C"/>
    <w:rsid w:val="0024464C"/>
    <w:rsid w:val="002475D1"/>
    <w:rsid w:val="002539B6"/>
    <w:rsid w:val="00260BC3"/>
    <w:rsid w:val="00263663"/>
    <w:rsid w:val="00277247"/>
    <w:rsid w:val="00283F6F"/>
    <w:rsid w:val="00285342"/>
    <w:rsid w:val="002A5C42"/>
    <w:rsid w:val="002B32AE"/>
    <w:rsid w:val="002B7358"/>
    <w:rsid w:val="002C520A"/>
    <w:rsid w:val="002D6EDF"/>
    <w:rsid w:val="002E1941"/>
    <w:rsid w:val="00314C5F"/>
    <w:rsid w:val="0031501A"/>
    <w:rsid w:val="003362F1"/>
    <w:rsid w:val="003422F0"/>
    <w:rsid w:val="0035078D"/>
    <w:rsid w:val="0035107A"/>
    <w:rsid w:val="003544C8"/>
    <w:rsid w:val="0036316D"/>
    <w:rsid w:val="003807B4"/>
    <w:rsid w:val="0039133A"/>
    <w:rsid w:val="003953A4"/>
    <w:rsid w:val="003A0194"/>
    <w:rsid w:val="003A36CC"/>
    <w:rsid w:val="003A5E6E"/>
    <w:rsid w:val="003B6D45"/>
    <w:rsid w:val="003C25D7"/>
    <w:rsid w:val="003C2C5B"/>
    <w:rsid w:val="003C763F"/>
    <w:rsid w:val="003C7AE6"/>
    <w:rsid w:val="00411020"/>
    <w:rsid w:val="00411CE2"/>
    <w:rsid w:val="00423956"/>
    <w:rsid w:val="00425AE5"/>
    <w:rsid w:val="004404F6"/>
    <w:rsid w:val="00453727"/>
    <w:rsid w:val="004547AC"/>
    <w:rsid w:val="004679C6"/>
    <w:rsid w:val="00473F1E"/>
    <w:rsid w:val="00477710"/>
    <w:rsid w:val="0048354F"/>
    <w:rsid w:val="00493BCC"/>
    <w:rsid w:val="00496821"/>
    <w:rsid w:val="00496BBA"/>
    <w:rsid w:val="004C5828"/>
    <w:rsid w:val="004E1E80"/>
    <w:rsid w:val="004E531F"/>
    <w:rsid w:val="004E5660"/>
    <w:rsid w:val="00525EBC"/>
    <w:rsid w:val="005323B8"/>
    <w:rsid w:val="005433FF"/>
    <w:rsid w:val="00565A3E"/>
    <w:rsid w:val="005B5281"/>
    <w:rsid w:val="005C161E"/>
    <w:rsid w:val="005C58F2"/>
    <w:rsid w:val="005E3DB5"/>
    <w:rsid w:val="005E5E77"/>
    <w:rsid w:val="005E6E99"/>
    <w:rsid w:val="005F19D2"/>
    <w:rsid w:val="005F256F"/>
    <w:rsid w:val="005F712C"/>
    <w:rsid w:val="006141B6"/>
    <w:rsid w:val="006241A5"/>
    <w:rsid w:val="006339FB"/>
    <w:rsid w:val="00645758"/>
    <w:rsid w:val="00660658"/>
    <w:rsid w:val="00663574"/>
    <w:rsid w:val="0066663E"/>
    <w:rsid w:val="00674C0E"/>
    <w:rsid w:val="00690753"/>
    <w:rsid w:val="006A0907"/>
    <w:rsid w:val="006E6CD7"/>
    <w:rsid w:val="00710CBF"/>
    <w:rsid w:val="007611E6"/>
    <w:rsid w:val="007763DC"/>
    <w:rsid w:val="00792584"/>
    <w:rsid w:val="00796AA4"/>
    <w:rsid w:val="007C172D"/>
    <w:rsid w:val="007C5658"/>
    <w:rsid w:val="007C7B26"/>
    <w:rsid w:val="007D4A0B"/>
    <w:rsid w:val="007D4E6B"/>
    <w:rsid w:val="007E3FA9"/>
    <w:rsid w:val="007F44DA"/>
    <w:rsid w:val="0080139C"/>
    <w:rsid w:val="00811130"/>
    <w:rsid w:val="00816752"/>
    <w:rsid w:val="008443B4"/>
    <w:rsid w:val="00850BAB"/>
    <w:rsid w:val="00863655"/>
    <w:rsid w:val="00883D0A"/>
    <w:rsid w:val="008C7218"/>
    <w:rsid w:val="008D4B27"/>
    <w:rsid w:val="00914BE1"/>
    <w:rsid w:val="009347A9"/>
    <w:rsid w:val="00963969"/>
    <w:rsid w:val="00982C4D"/>
    <w:rsid w:val="00991A53"/>
    <w:rsid w:val="009A4215"/>
    <w:rsid w:val="009B2D7A"/>
    <w:rsid w:val="009C6C88"/>
    <w:rsid w:val="009F3CE2"/>
    <w:rsid w:val="00A27089"/>
    <w:rsid w:val="00A32B08"/>
    <w:rsid w:val="00A41EA9"/>
    <w:rsid w:val="00A620EB"/>
    <w:rsid w:val="00A92873"/>
    <w:rsid w:val="00AA529E"/>
    <w:rsid w:val="00AD59F2"/>
    <w:rsid w:val="00AE17AA"/>
    <w:rsid w:val="00B10C28"/>
    <w:rsid w:val="00B219D4"/>
    <w:rsid w:val="00B23A7B"/>
    <w:rsid w:val="00B2523B"/>
    <w:rsid w:val="00B44321"/>
    <w:rsid w:val="00B6288A"/>
    <w:rsid w:val="00B64B69"/>
    <w:rsid w:val="00BA03A1"/>
    <w:rsid w:val="00BA35C7"/>
    <w:rsid w:val="00BC1130"/>
    <w:rsid w:val="00BD2CEB"/>
    <w:rsid w:val="00BF3A59"/>
    <w:rsid w:val="00BF7EC7"/>
    <w:rsid w:val="00C2154C"/>
    <w:rsid w:val="00C3064D"/>
    <w:rsid w:val="00C47D58"/>
    <w:rsid w:val="00C6304A"/>
    <w:rsid w:val="00C70FDF"/>
    <w:rsid w:val="00C80243"/>
    <w:rsid w:val="00C80FD9"/>
    <w:rsid w:val="00CB13CA"/>
    <w:rsid w:val="00CF1C7F"/>
    <w:rsid w:val="00CF4375"/>
    <w:rsid w:val="00D24D20"/>
    <w:rsid w:val="00D257EB"/>
    <w:rsid w:val="00D26C83"/>
    <w:rsid w:val="00D340E4"/>
    <w:rsid w:val="00D51152"/>
    <w:rsid w:val="00D51D67"/>
    <w:rsid w:val="00D56A5C"/>
    <w:rsid w:val="00D57D7C"/>
    <w:rsid w:val="00D60348"/>
    <w:rsid w:val="00D84A70"/>
    <w:rsid w:val="00DB1A24"/>
    <w:rsid w:val="00DB3AE2"/>
    <w:rsid w:val="00DD24E8"/>
    <w:rsid w:val="00DD548D"/>
    <w:rsid w:val="00E11D58"/>
    <w:rsid w:val="00E254CC"/>
    <w:rsid w:val="00E459B7"/>
    <w:rsid w:val="00E50E9C"/>
    <w:rsid w:val="00E64659"/>
    <w:rsid w:val="00E77B74"/>
    <w:rsid w:val="00E84256"/>
    <w:rsid w:val="00E948D9"/>
    <w:rsid w:val="00E96F81"/>
    <w:rsid w:val="00E978A6"/>
    <w:rsid w:val="00EA3A10"/>
    <w:rsid w:val="00EB1E32"/>
    <w:rsid w:val="00EB37D2"/>
    <w:rsid w:val="00EB3CF8"/>
    <w:rsid w:val="00EC779D"/>
    <w:rsid w:val="00ED23CF"/>
    <w:rsid w:val="00EE7FE5"/>
    <w:rsid w:val="00F268EF"/>
    <w:rsid w:val="00F31889"/>
    <w:rsid w:val="00F36E68"/>
    <w:rsid w:val="00F46899"/>
    <w:rsid w:val="00F517AE"/>
    <w:rsid w:val="00F62927"/>
    <w:rsid w:val="00F70FB2"/>
    <w:rsid w:val="00F87F05"/>
    <w:rsid w:val="00FB2DA0"/>
    <w:rsid w:val="00FC0299"/>
    <w:rsid w:val="00FC2D15"/>
    <w:rsid w:val="00FD0233"/>
    <w:rsid w:val="00FF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199196"/>
  <w15:docId w15:val="{89BA3DF5-4158-446C-9565-8608E46E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321"/>
    <w:pPr>
      <w:spacing w:after="200" w:line="27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BE1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14BE1"/>
  </w:style>
  <w:style w:type="paragraph" w:styleId="Footer">
    <w:name w:val="footer"/>
    <w:basedOn w:val="Normal"/>
    <w:link w:val="FooterChar"/>
    <w:uiPriority w:val="99"/>
    <w:unhideWhenUsed/>
    <w:rsid w:val="00914BE1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14BE1"/>
  </w:style>
  <w:style w:type="paragraph" w:styleId="BalloonText">
    <w:name w:val="Balloon Text"/>
    <w:basedOn w:val="Normal"/>
    <w:link w:val="BalloonTextChar"/>
    <w:uiPriority w:val="99"/>
    <w:semiHidden/>
    <w:unhideWhenUsed/>
    <w:rsid w:val="00914BE1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B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2DA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2C4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C58F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F1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5F19D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C1C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9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ktus.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vana@marketingmreza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ktus.rs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72B35-DEF3-4A53-B563-5A79E4E8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Društvo Srbije za odnose s javnošću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Parčetić</dc:creator>
  <cp:lastModifiedBy>Lana Rosandić</cp:lastModifiedBy>
  <cp:revision>2</cp:revision>
  <cp:lastPrinted>2016-02-16T19:27:00Z</cp:lastPrinted>
  <dcterms:created xsi:type="dcterms:W3CDTF">2020-10-12T15:23:00Z</dcterms:created>
  <dcterms:modified xsi:type="dcterms:W3CDTF">2020-10-12T15:23:00Z</dcterms:modified>
</cp:coreProperties>
</file>